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6213">
      <w:pPr>
        <w:ind w:right="626"/>
        <w:jc w:val="center"/>
        <w:rPr>
          <w:rFonts w:ascii="华文中宋" w:eastAsia="华文中宋" w:hAnsi="华文中宋" w:hint="eastAsia"/>
          <w:b/>
          <w:sz w:val="52"/>
        </w:rPr>
      </w:pPr>
      <w:r>
        <w:rPr>
          <w:rFonts w:ascii="宋体"/>
        </w:rPr>
        <w:tab/>
      </w:r>
    </w:p>
    <w:p w:rsidR="00000000" w:rsidRDefault="00AB6213">
      <w:pPr>
        <w:tabs>
          <w:tab w:val="left" w:pos="8280"/>
        </w:tabs>
        <w:ind w:right="26"/>
        <w:jc w:val="center"/>
        <w:rPr>
          <w:rFonts w:ascii="华文中宋" w:hAnsi="华文中宋" w:hint="eastAsia"/>
          <w:b/>
          <w:sz w:val="52"/>
        </w:rPr>
      </w:pPr>
      <w:r>
        <w:rPr>
          <w:rFonts w:ascii="华文中宋" w:hAnsi="华文中宋" w:hint="eastAsia"/>
          <w:b/>
          <w:sz w:val="52"/>
        </w:rPr>
        <w:t>中国农业大学</w:t>
      </w:r>
    </w:p>
    <w:p w:rsidR="00000000" w:rsidRDefault="00AB6213">
      <w:pPr>
        <w:ind w:right="26"/>
        <w:jc w:val="center"/>
        <w:rPr>
          <w:rFonts w:ascii="楷体_GB2312" w:eastAsia="楷体_GB2312" w:hAnsi="华文楷体"/>
          <w:b/>
          <w:sz w:val="52"/>
        </w:rPr>
      </w:pPr>
      <w:r>
        <w:rPr>
          <w:rFonts w:ascii="楷体_GB2312" w:hAnsi="华文楷体" w:hint="eastAsia"/>
          <w:b/>
          <w:sz w:val="52"/>
        </w:rPr>
        <w:t>本科生“</w:t>
      </w:r>
      <w:r>
        <w:rPr>
          <w:rFonts w:ascii="楷体_GB2312" w:hAnsi="华文楷体" w:hint="eastAsia"/>
          <w:b/>
          <w:sz w:val="52"/>
        </w:rPr>
        <w:t>URP</w:t>
      </w:r>
      <w:r>
        <w:rPr>
          <w:rFonts w:ascii="楷体_GB2312" w:hAnsi="华文楷体" w:hint="eastAsia"/>
          <w:b/>
          <w:sz w:val="52"/>
        </w:rPr>
        <w:t>”立项申请书</w:t>
      </w:r>
    </w:p>
    <w:p w:rsidR="00000000" w:rsidRDefault="00AB6213">
      <w:pPr>
        <w:ind w:right="26"/>
        <w:jc w:val="center"/>
        <w:rPr>
          <w:rFonts w:ascii="宋体"/>
          <w:b/>
          <w:sz w:val="44"/>
        </w:rPr>
      </w:pPr>
    </w:p>
    <w:p w:rsidR="00000000" w:rsidRDefault="00AB6213">
      <w:pPr>
        <w:ind w:right="26"/>
        <w:jc w:val="center"/>
        <w:rPr>
          <w:rFonts w:ascii="宋体" w:hint="eastAsia"/>
          <w:b/>
          <w:sz w:val="44"/>
        </w:rPr>
      </w:pPr>
    </w:p>
    <w:p w:rsidR="00000000" w:rsidRDefault="00AB6213">
      <w:pPr>
        <w:ind w:right="26"/>
        <w:jc w:val="center"/>
        <w:rPr>
          <w:rFonts w:ascii="宋体" w:hint="eastAsia"/>
          <w:b/>
          <w:sz w:val="44"/>
        </w:rPr>
      </w:pPr>
    </w:p>
    <w:p w:rsidR="00000000" w:rsidRDefault="00AB6213">
      <w:pPr>
        <w:ind w:right="26"/>
        <w:jc w:val="center"/>
        <w:rPr>
          <w:rFonts w:ascii="宋体" w:hint="eastAsia"/>
          <w:b/>
          <w:sz w:val="44"/>
        </w:rPr>
      </w:pPr>
    </w:p>
    <w:p w:rsidR="00000000" w:rsidRDefault="00AB6213">
      <w:pPr>
        <w:spacing w:line="800" w:lineRule="exact"/>
        <w:ind w:leftChars="857" w:left="3406" w:right="28" w:hangingChars="500" w:hanging="1606"/>
        <w:rPr>
          <w:rFonts w:ascii="楷体_GB2312" w:eastAsia="楷体_GB2312" w:hAnsi="华文楷体"/>
          <w:b/>
          <w:sz w:val="32"/>
        </w:rPr>
      </w:pPr>
      <w:r>
        <w:rPr>
          <w:rFonts w:ascii="楷体_GB2312" w:eastAsia="楷体_GB2312" w:hAnsi="华文楷体" w:hint="eastAsia"/>
          <w:b/>
          <w:sz w:val="32"/>
        </w:rPr>
        <w:t>项目名称</w:t>
      </w:r>
      <w:r>
        <w:rPr>
          <w:rFonts w:ascii="楷体_GB2312" w:eastAsia="楷体_GB2312" w:hAnsi="华文楷体" w:hint="eastAsia"/>
          <w:b/>
          <w:sz w:val="32"/>
        </w:rPr>
        <w:t xml:space="preserve"> </w:t>
      </w:r>
      <w:r>
        <w:rPr>
          <w:rFonts w:ascii="楷体_GB2312" w:eastAsia="楷体_GB2312" w:hAnsi="华文楷体" w:hint="eastAsia"/>
          <w:b/>
          <w:sz w:val="32"/>
          <w:u w:val="single"/>
        </w:rPr>
        <w:t>新准则下的政府补助对上市公司绩效变动的影响</w:t>
      </w:r>
      <w:r>
        <w:rPr>
          <w:rFonts w:ascii="楷体_GB2312" w:eastAsia="楷体_GB2312" w:hAnsi="华文楷体" w:hint="eastAsia"/>
          <w:b/>
          <w:sz w:val="32"/>
          <w:u w:val="single"/>
        </w:rPr>
        <w:t xml:space="preserve">                    </w:t>
      </w:r>
    </w:p>
    <w:p w:rsidR="00000000" w:rsidRDefault="00AB6213">
      <w:pPr>
        <w:spacing w:line="800" w:lineRule="exact"/>
        <w:ind w:leftChars="857" w:left="1800" w:right="-154"/>
        <w:rPr>
          <w:rFonts w:ascii="楷体_GB2312" w:eastAsia="楷体_GB2312" w:hAnsi="华文楷体"/>
          <w:b/>
          <w:sz w:val="32"/>
        </w:rPr>
      </w:pPr>
      <w:r>
        <w:rPr>
          <w:rFonts w:ascii="楷体_GB2312" w:eastAsia="楷体_GB2312" w:hAnsi="华文楷体" w:hint="eastAsia"/>
          <w:b/>
          <w:sz w:val="32"/>
        </w:rPr>
        <w:t>申</w:t>
      </w:r>
      <w:r>
        <w:rPr>
          <w:rFonts w:ascii="楷体_GB2312" w:eastAsia="楷体_GB2312" w:hAnsi="华文楷体" w:hint="eastAsia"/>
          <w:b/>
          <w:sz w:val="32"/>
        </w:rPr>
        <w:t xml:space="preserve"> </w:t>
      </w:r>
      <w:r>
        <w:rPr>
          <w:rFonts w:ascii="楷体_GB2312" w:eastAsia="楷体_GB2312" w:hAnsi="华文楷体" w:hint="eastAsia"/>
          <w:b/>
          <w:sz w:val="32"/>
        </w:rPr>
        <w:t>请</w:t>
      </w:r>
      <w:r>
        <w:rPr>
          <w:rFonts w:ascii="楷体_GB2312" w:eastAsia="楷体_GB2312" w:hAnsi="华文楷体" w:hint="eastAsia"/>
          <w:b/>
          <w:sz w:val="32"/>
        </w:rPr>
        <w:t xml:space="preserve"> </w:t>
      </w:r>
      <w:r>
        <w:rPr>
          <w:rFonts w:ascii="楷体_GB2312" w:eastAsia="楷体_GB2312" w:hAnsi="华文楷体" w:hint="eastAsia"/>
          <w:b/>
          <w:sz w:val="32"/>
        </w:rPr>
        <w:t>人</w:t>
      </w:r>
      <w:r>
        <w:rPr>
          <w:rFonts w:ascii="楷体_GB2312" w:eastAsia="楷体_GB2312" w:hAnsi="华文楷体" w:hint="eastAsia"/>
          <w:b/>
          <w:sz w:val="32"/>
        </w:rPr>
        <w:t xml:space="preserve"> </w:t>
      </w:r>
      <w:r>
        <w:rPr>
          <w:rFonts w:ascii="楷体_GB2312" w:eastAsia="楷体_GB2312" w:hAnsi="华文楷体" w:hint="eastAsia"/>
          <w:b/>
          <w:sz w:val="32"/>
          <w:u w:val="single"/>
        </w:rPr>
        <w:t>陈兆静</w:t>
      </w:r>
      <w:r>
        <w:rPr>
          <w:rFonts w:ascii="楷体_GB2312" w:eastAsia="楷体_GB2312" w:hAnsi="华文楷体" w:hint="eastAsia"/>
          <w:b/>
          <w:sz w:val="32"/>
          <w:u w:val="single"/>
        </w:rPr>
        <w:t xml:space="preserve">                   </w:t>
      </w:r>
      <w:r>
        <w:rPr>
          <w:rFonts w:ascii="楷体_GB2312" w:eastAsia="楷体_GB2312" w:hAnsi="华文楷体" w:hint="eastAsia"/>
          <w:b/>
          <w:sz w:val="32"/>
          <w:u w:val="single"/>
        </w:rPr>
        <w:t xml:space="preserve">      </w:t>
      </w:r>
    </w:p>
    <w:p w:rsidR="00000000" w:rsidRDefault="00AB6213">
      <w:pPr>
        <w:spacing w:line="800" w:lineRule="exact"/>
        <w:ind w:leftChars="857" w:left="1800" w:right="-154"/>
        <w:rPr>
          <w:rFonts w:ascii="楷体_GB2312" w:eastAsia="楷体_GB2312" w:hAnsi="华文楷体" w:hint="eastAsia"/>
          <w:b/>
          <w:sz w:val="32"/>
        </w:rPr>
      </w:pPr>
      <w:r>
        <w:rPr>
          <w:rFonts w:ascii="楷体_GB2312" w:eastAsia="楷体_GB2312" w:hAnsi="华文楷体" w:hint="eastAsia"/>
          <w:b/>
          <w:sz w:val="32"/>
        </w:rPr>
        <w:t>联系电话</w:t>
      </w:r>
      <w:r>
        <w:rPr>
          <w:rFonts w:ascii="楷体_GB2312" w:eastAsia="楷体_GB2312" w:hAnsi="华文楷体" w:hint="eastAsia"/>
          <w:b/>
          <w:sz w:val="32"/>
        </w:rPr>
        <w:t xml:space="preserve"> </w:t>
      </w:r>
      <w:r>
        <w:rPr>
          <w:rFonts w:ascii="楷体_GB2312" w:eastAsia="楷体_GB2312" w:hAnsi="华文楷体" w:hint="eastAsia"/>
          <w:b/>
          <w:sz w:val="32"/>
          <w:u w:val="single"/>
        </w:rPr>
        <w:t>18811737182</w:t>
      </w:r>
      <w:r>
        <w:rPr>
          <w:rFonts w:ascii="楷体_GB2312" w:eastAsia="楷体_GB2312" w:hAnsi="华文楷体" w:hint="eastAsia"/>
          <w:b/>
          <w:sz w:val="32"/>
          <w:u w:val="single"/>
        </w:rPr>
        <w:t xml:space="preserve">                </w:t>
      </w:r>
      <w:r>
        <w:rPr>
          <w:rFonts w:ascii="楷体_GB2312" w:eastAsia="楷体_GB2312" w:hAnsi="华文楷体" w:hint="eastAsia"/>
          <w:b/>
          <w:sz w:val="32"/>
          <w:u w:val="single"/>
        </w:rPr>
        <w:t xml:space="preserve">    </w:t>
      </w:r>
    </w:p>
    <w:p w:rsidR="00000000" w:rsidRDefault="00AB6213">
      <w:pPr>
        <w:spacing w:line="800" w:lineRule="exact"/>
        <w:ind w:leftChars="857" w:left="1800" w:right="-154"/>
        <w:rPr>
          <w:rFonts w:ascii="楷体_GB2312" w:eastAsia="楷体_GB2312" w:hAnsi="华文楷体" w:hint="eastAsia"/>
          <w:b/>
          <w:sz w:val="32"/>
          <w:u w:val="single"/>
        </w:rPr>
      </w:pPr>
      <w:r>
        <w:rPr>
          <w:rFonts w:ascii="楷体_GB2312" w:eastAsia="楷体_GB2312" w:hAnsi="华文楷体" w:hint="eastAsia"/>
          <w:b/>
          <w:sz w:val="32"/>
        </w:rPr>
        <w:t>电子信箱</w:t>
      </w:r>
      <w:r>
        <w:rPr>
          <w:rFonts w:ascii="楷体_GB2312" w:eastAsia="楷体_GB2312" w:hAnsi="华文楷体" w:hint="eastAsia"/>
          <w:b/>
          <w:sz w:val="32"/>
        </w:rPr>
        <w:t xml:space="preserve"> </w:t>
      </w:r>
      <w:r>
        <w:rPr>
          <w:rFonts w:ascii="楷体_GB2312" w:eastAsia="楷体_GB2312" w:hAnsi="华文楷体" w:hint="eastAsia"/>
          <w:b/>
          <w:sz w:val="32"/>
          <w:u w:val="single"/>
        </w:rPr>
        <w:t>1913107175@qq.</w:t>
      </w:r>
      <w:proofErr w:type="gramStart"/>
      <w:r>
        <w:rPr>
          <w:rFonts w:ascii="楷体_GB2312" w:eastAsia="楷体_GB2312" w:hAnsi="华文楷体" w:hint="eastAsia"/>
          <w:b/>
          <w:sz w:val="32"/>
          <w:u w:val="single"/>
        </w:rPr>
        <w:t>com</w:t>
      </w:r>
      <w:proofErr w:type="gramEnd"/>
      <w:r>
        <w:rPr>
          <w:rFonts w:ascii="楷体_GB2312" w:eastAsia="楷体_GB2312" w:hAnsi="华文楷体" w:hint="eastAsia"/>
          <w:b/>
          <w:sz w:val="32"/>
          <w:u w:val="single"/>
        </w:rPr>
        <w:t xml:space="preserve">          </w:t>
      </w:r>
      <w:r>
        <w:rPr>
          <w:rFonts w:ascii="楷体_GB2312" w:eastAsia="楷体_GB2312" w:hAnsi="华文楷体" w:hint="eastAsia"/>
          <w:b/>
          <w:sz w:val="32"/>
          <w:u w:val="single"/>
        </w:rPr>
        <w:t xml:space="preserve">    </w:t>
      </w:r>
    </w:p>
    <w:p w:rsidR="00000000" w:rsidRDefault="00AB6213">
      <w:pPr>
        <w:spacing w:line="800" w:lineRule="exact"/>
        <w:ind w:leftChars="856" w:left="1798" w:right="-153"/>
        <w:rPr>
          <w:rFonts w:ascii="楷体_GB2312" w:eastAsia="楷体_GB2312" w:hAnsi="华文楷体"/>
          <w:b/>
          <w:sz w:val="32"/>
        </w:rPr>
      </w:pPr>
      <w:r>
        <w:rPr>
          <w:rFonts w:ascii="楷体_GB2312" w:eastAsia="楷体_GB2312" w:hAnsi="华文楷体" w:hint="eastAsia"/>
          <w:b/>
          <w:sz w:val="32"/>
        </w:rPr>
        <w:t>填表日期</w:t>
      </w:r>
      <w:r>
        <w:rPr>
          <w:rFonts w:ascii="楷体_GB2312" w:eastAsia="楷体_GB2312" w:hAnsi="华文楷体" w:hint="eastAsia"/>
          <w:b/>
          <w:sz w:val="32"/>
        </w:rPr>
        <w:t xml:space="preserve"> </w:t>
      </w:r>
      <w:r>
        <w:rPr>
          <w:rFonts w:ascii="楷体_GB2312" w:eastAsia="楷体_GB2312" w:hAnsi="华文楷体" w:hint="eastAsia"/>
          <w:b/>
          <w:sz w:val="32"/>
          <w:u w:val="single"/>
        </w:rPr>
        <w:t>2018.11.28</w:t>
      </w:r>
      <w:r>
        <w:rPr>
          <w:rFonts w:ascii="楷体_GB2312" w:eastAsia="楷体_GB2312" w:hAnsi="华文楷体" w:hint="eastAsia"/>
          <w:b/>
          <w:sz w:val="32"/>
          <w:u w:val="single"/>
        </w:rPr>
        <w:t xml:space="preserve">                </w:t>
      </w:r>
      <w:r>
        <w:rPr>
          <w:rFonts w:ascii="楷体_GB2312" w:eastAsia="楷体_GB2312" w:hAnsi="华文楷体" w:hint="eastAsia"/>
          <w:b/>
          <w:sz w:val="32"/>
          <w:u w:val="single"/>
        </w:rPr>
        <w:t xml:space="preserve">    </w:t>
      </w:r>
      <w:r>
        <w:rPr>
          <w:rFonts w:ascii="楷体_GB2312" w:eastAsia="楷体_GB2312" w:hAnsi="华文楷体" w:hint="eastAsia"/>
          <w:b/>
          <w:sz w:val="32"/>
          <w:u w:val="single"/>
        </w:rPr>
        <w:t xml:space="preserve"> </w:t>
      </w:r>
      <w:r>
        <w:rPr>
          <w:rFonts w:ascii="楷体_GB2312" w:eastAsia="楷体_GB2312" w:hAnsi="华文楷体" w:hint="eastAsia"/>
          <w:b/>
          <w:sz w:val="32"/>
        </w:rPr>
        <w:t xml:space="preserve">    </w:t>
      </w:r>
      <w:r>
        <w:rPr>
          <w:rFonts w:ascii="楷体_GB2312" w:eastAsia="楷体_GB2312" w:hAnsi="华文楷体" w:hint="eastAsia"/>
          <w:b/>
          <w:sz w:val="32"/>
        </w:rPr>
        <w:t xml:space="preserve"> </w:t>
      </w:r>
      <w:r>
        <w:rPr>
          <w:rFonts w:ascii="楷体_GB2312" w:eastAsia="楷体_GB2312" w:hAnsi="华文楷体" w:hint="eastAsia"/>
          <w:b/>
          <w:sz w:val="32"/>
        </w:rPr>
        <w:t xml:space="preserve">                </w:t>
      </w:r>
    </w:p>
    <w:p w:rsidR="00000000" w:rsidRDefault="00AB6213">
      <w:pPr>
        <w:rPr>
          <w:rFonts w:ascii="宋体"/>
          <w:b/>
        </w:rPr>
      </w:pPr>
      <w:r>
        <w:rPr>
          <w:rFonts w:ascii="华文楷体" w:eastAsia="华文楷体" w:hAnsi="华文楷体" w:hint="eastAsia"/>
          <w:b/>
        </w:rPr>
        <w:t xml:space="preserve">      </w:t>
      </w:r>
    </w:p>
    <w:p w:rsidR="00000000" w:rsidRDefault="00AB6213">
      <w:pPr>
        <w:rPr>
          <w:rFonts w:ascii="宋体" w:hint="eastAsia"/>
          <w:b/>
        </w:rPr>
      </w:pPr>
    </w:p>
    <w:p w:rsidR="00000000" w:rsidRDefault="00AB6213">
      <w:pPr>
        <w:rPr>
          <w:rFonts w:ascii="宋体" w:hint="eastAsia"/>
          <w:b/>
        </w:rPr>
      </w:pPr>
    </w:p>
    <w:p w:rsidR="00000000" w:rsidRDefault="00AB6213">
      <w:pPr>
        <w:rPr>
          <w:rFonts w:ascii="宋体" w:hint="eastAsia"/>
          <w:b/>
        </w:rPr>
      </w:pPr>
    </w:p>
    <w:p w:rsidR="00000000" w:rsidRDefault="00AB6213">
      <w:pPr>
        <w:rPr>
          <w:rFonts w:ascii="宋体"/>
          <w:b/>
        </w:rPr>
      </w:pPr>
    </w:p>
    <w:p w:rsidR="00000000" w:rsidRDefault="00AB6213">
      <w:pPr>
        <w:rPr>
          <w:rFonts w:ascii="宋体"/>
          <w:b/>
        </w:rPr>
      </w:pPr>
    </w:p>
    <w:p w:rsidR="00000000" w:rsidRDefault="00AB6213">
      <w:pPr>
        <w:rPr>
          <w:rFonts w:ascii="宋体"/>
          <w:b/>
        </w:rPr>
      </w:pPr>
    </w:p>
    <w:p w:rsidR="00000000" w:rsidRDefault="00AB6213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中国</w:t>
      </w:r>
      <w:r>
        <w:rPr>
          <w:rFonts w:ascii="华文中宋" w:eastAsia="华文中宋" w:hAnsi="华文中宋" w:hint="eastAsia"/>
          <w:b/>
          <w:sz w:val="32"/>
          <w:szCs w:val="32"/>
        </w:rPr>
        <w:t>农业大学教务处制</w:t>
      </w:r>
    </w:p>
    <w:p w:rsidR="00000000" w:rsidRDefault="00AB6213">
      <w:pPr>
        <w:tabs>
          <w:tab w:val="left" w:pos="1601"/>
        </w:tabs>
        <w:ind w:left="28"/>
        <w:jc w:val="left"/>
        <w:rPr>
          <w:rFonts w:ascii="宋体" w:hint="eastAsia"/>
        </w:rPr>
      </w:pPr>
    </w:p>
    <w:p w:rsidR="00000000" w:rsidRDefault="00AB6213">
      <w:pPr>
        <w:tabs>
          <w:tab w:val="left" w:pos="1601"/>
        </w:tabs>
        <w:ind w:left="28"/>
        <w:jc w:val="left"/>
        <w:rPr>
          <w:rFonts w:ascii="宋体" w:hint="eastAsia"/>
        </w:rPr>
      </w:pPr>
    </w:p>
    <w:p w:rsidR="00000000" w:rsidRDefault="00AB6213">
      <w:pPr>
        <w:tabs>
          <w:tab w:val="left" w:pos="1601"/>
        </w:tabs>
        <w:ind w:left="28"/>
        <w:jc w:val="left"/>
        <w:rPr>
          <w:rFonts w:ascii="宋体" w:hint="eastAsia"/>
        </w:rPr>
      </w:pPr>
    </w:p>
    <w:p w:rsidR="00000000" w:rsidRDefault="00AB6213">
      <w:pPr>
        <w:tabs>
          <w:tab w:val="left" w:pos="1601"/>
        </w:tabs>
        <w:ind w:left="28"/>
        <w:jc w:val="left"/>
        <w:rPr>
          <w:rFonts w:ascii="宋体" w:hint="eastAsia"/>
        </w:rPr>
      </w:pPr>
    </w:p>
    <w:p w:rsidR="00000000" w:rsidRDefault="00AB6213">
      <w:pPr>
        <w:tabs>
          <w:tab w:val="left" w:pos="1601"/>
        </w:tabs>
        <w:ind w:left="28"/>
        <w:jc w:val="left"/>
        <w:rPr>
          <w:rFonts w:ascii="宋体" w:hint="eastAsia"/>
        </w:rPr>
      </w:pPr>
    </w:p>
    <w:p w:rsidR="00000000" w:rsidRDefault="00AB6213">
      <w:pPr>
        <w:tabs>
          <w:tab w:val="left" w:pos="1601"/>
        </w:tabs>
        <w:ind w:left="28"/>
        <w:jc w:val="left"/>
        <w:rPr>
          <w:rFonts w:ascii="宋体" w:hint="eastAsia"/>
        </w:rPr>
      </w:pP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0"/>
        <w:gridCol w:w="673"/>
        <w:gridCol w:w="1187"/>
        <w:gridCol w:w="1020"/>
        <w:gridCol w:w="1740"/>
        <w:gridCol w:w="1380"/>
        <w:gridCol w:w="1380"/>
      </w:tblGrid>
      <w:tr w:rsidR="00000000"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B621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项目名称</w:t>
            </w:r>
          </w:p>
        </w:tc>
        <w:tc>
          <w:tcPr>
            <w:tcW w:w="6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6213">
            <w:pPr>
              <w:jc w:val="left"/>
              <w:rPr>
                <w:rFonts w:ascii="宋体" w:hint="eastAsia"/>
              </w:rPr>
            </w:pPr>
            <w:r>
              <w:rPr>
                <w:rFonts w:ascii="宋体" w:hint="eastAsia"/>
              </w:rPr>
              <w:t>新准则下的政府补助对上市公司绩效变动的影响</w:t>
            </w:r>
          </w:p>
        </w:tc>
      </w:tr>
      <w:tr w:rsidR="00000000"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B621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项目起止时间</w:t>
            </w:r>
          </w:p>
        </w:tc>
        <w:tc>
          <w:tcPr>
            <w:tcW w:w="6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6213">
            <w:pPr>
              <w:jc w:val="left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2018.11-2019.11</w:t>
            </w:r>
          </w:p>
        </w:tc>
      </w:tr>
      <w:tr w:rsidR="00000000">
        <w:trPr>
          <w:cantSplit/>
        </w:trPr>
        <w:tc>
          <w:tcPr>
            <w:tcW w:w="82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B621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项目申请人情况</w:t>
            </w:r>
          </w:p>
        </w:tc>
      </w:tr>
      <w:tr w:rsidR="00000000">
        <w:trPr>
          <w:cantSplit/>
          <w:trHeight w:val="32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B621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B6213">
            <w:pPr>
              <w:jc w:val="center"/>
              <w:rPr>
                <w:rFonts w:ascii="宋体" w:hint="eastAsia"/>
              </w:rPr>
            </w:pPr>
            <w:proofErr w:type="gramStart"/>
            <w:r>
              <w:rPr>
                <w:rFonts w:ascii="宋体" w:hint="eastAsia"/>
              </w:rPr>
              <w:t>陈兆静</w:t>
            </w:r>
            <w:proofErr w:type="gramEnd"/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B621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学号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B621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2017311250112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B621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班级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B621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会计</w:t>
            </w:r>
            <w:r>
              <w:rPr>
                <w:rFonts w:ascii="宋体" w:hint="eastAsia"/>
              </w:rPr>
              <w:t>171</w:t>
            </w:r>
          </w:p>
        </w:tc>
      </w:tr>
      <w:tr w:rsidR="00000000">
        <w:trPr>
          <w:cantSplit/>
          <w:trHeight w:val="3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B621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最后学历与学位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B621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本科在读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B621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专业技术职务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B621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学生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B621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从事专业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B6213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会计</w:t>
            </w:r>
          </w:p>
        </w:tc>
      </w:tr>
      <w:tr w:rsidR="00000000">
        <w:tc>
          <w:tcPr>
            <w:tcW w:w="82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6213">
            <w:pPr>
              <w:numPr>
                <w:ilvl w:val="0"/>
                <w:numId w:val="2"/>
              </w:num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项目概况</w:t>
            </w:r>
          </w:p>
          <w:tbl>
            <w:tblPr>
              <w:tblW w:w="0" w:type="auto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44"/>
              <w:gridCol w:w="1645"/>
              <w:gridCol w:w="1645"/>
              <w:gridCol w:w="1645"/>
              <w:gridCol w:w="1645"/>
            </w:tblGrid>
            <w:tr w:rsidR="00000000">
              <w:tc>
                <w:tcPr>
                  <w:tcW w:w="1644" w:type="dxa"/>
                </w:tcPr>
                <w:p w:rsidR="00000000" w:rsidRDefault="00AB6213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申</w:t>
                  </w:r>
                </w:p>
                <w:p w:rsidR="00000000" w:rsidRDefault="00AB6213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请</w:t>
                  </w:r>
                </w:p>
                <w:p w:rsidR="00000000" w:rsidRDefault="00AB6213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团</w:t>
                  </w:r>
                </w:p>
                <w:p w:rsidR="00000000" w:rsidRDefault="00AB6213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队</w:t>
                  </w:r>
                </w:p>
                <w:p w:rsidR="00000000" w:rsidRDefault="00AB6213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成</w:t>
                  </w:r>
                </w:p>
                <w:p w:rsidR="00000000" w:rsidRDefault="00AB6213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员</w:t>
                  </w:r>
                </w:p>
              </w:tc>
              <w:tc>
                <w:tcPr>
                  <w:tcW w:w="1645" w:type="dxa"/>
                </w:tcPr>
                <w:p w:rsidR="00000000" w:rsidRDefault="00AB621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姓名</w:t>
                  </w:r>
                </w:p>
                <w:p w:rsidR="00000000" w:rsidRDefault="00AB6213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陈兆静</w:t>
                  </w:r>
                </w:p>
                <w:p w:rsidR="00000000" w:rsidRDefault="00AB6213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杨宇铭</w:t>
                  </w:r>
                </w:p>
                <w:p w:rsidR="00000000" w:rsidRDefault="00AB6213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刘乐羽</w:t>
                  </w:r>
                </w:p>
                <w:p w:rsidR="00000000" w:rsidRDefault="00AB6213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proofErr w:type="gramStart"/>
                  <w:r>
                    <w:rPr>
                      <w:rFonts w:ascii="宋体" w:hAnsi="宋体" w:hint="eastAsia"/>
                      <w:szCs w:val="21"/>
                    </w:rPr>
                    <w:t>魏雪宁</w:t>
                  </w:r>
                  <w:proofErr w:type="gramEnd"/>
                </w:p>
                <w:p w:rsidR="00000000" w:rsidRDefault="00AB6213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李佳雯</w:t>
                  </w:r>
                </w:p>
              </w:tc>
              <w:tc>
                <w:tcPr>
                  <w:tcW w:w="1645" w:type="dxa"/>
                </w:tcPr>
                <w:p w:rsidR="00000000" w:rsidRDefault="00AB621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年级</w:t>
                  </w:r>
                </w:p>
                <w:p w:rsidR="00000000" w:rsidRDefault="00AB6213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2017</w:t>
                  </w:r>
                  <w:r>
                    <w:rPr>
                      <w:rFonts w:ascii="宋体" w:hAnsi="宋体" w:hint="eastAsia"/>
                      <w:szCs w:val="21"/>
                    </w:rPr>
                    <w:t>级</w:t>
                  </w:r>
                </w:p>
                <w:p w:rsidR="00000000" w:rsidRDefault="00AB6213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2017</w:t>
                  </w:r>
                  <w:r>
                    <w:rPr>
                      <w:rFonts w:ascii="宋体" w:hAnsi="宋体" w:hint="eastAsia"/>
                      <w:szCs w:val="21"/>
                    </w:rPr>
                    <w:t>级</w:t>
                  </w:r>
                </w:p>
                <w:p w:rsidR="00000000" w:rsidRDefault="00AB6213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2017</w:t>
                  </w:r>
                  <w:r>
                    <w:rPr>
                      <w:rFonts w:ascii="宋体" w:hAnsi="宋体" w:hint="eastAsia"/>
                      <w:szCs w:val="21"/>
                    </w:rPr>
                    <w:t>级</w:t>
                  </w:r>
                </w:p>
                <w:p w:rsidR="00000000" w:rsidRDefault="00AB6213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2017</w:t>
                  </w:r>
                  <w:r>
                    <w:rPr>
                      <w:rFonts w:ascii="宋体" w:hAnsi="宋体" w:hint="eastAsia"/>
                      <w:szCs w:val="21"/>
                    </w:rPr>
                    <w:t>级</w:t>
                  </w:r>
                </w:p>
                <w:p w:rsidR="00000000" w:rsidRDefault="00AB6213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2017</w:t>
                  </w:r>
                  <w:r>
                    <w:rPr>
                      <w:rFonts w:ascii="宋体" w:hAnsi="宋体" w:hint="eastAsia"/>
                      <w:szCs w:val="21"/>
                    </w:rPr>
                    <w:t>级</w:t>
                  </w:r>
                </w:p>
              </w:tc>
              <w:tc>
                <w:tcPr>
                  <w:tcW w:w="1645" w:type="dxa"/>
                </w:tcPr>
                <w:p w:rsidR="00000000" w:rsidRDefault="00AB621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专业</w:t>
                  </w:r>
                </w:p>
                <w:p w:rsidR="00000000" w:rsidRDefault="00AB6213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会计学</w:t>
                  </w:r>
                </w:p>
                <w:p w:rsidR="00000000" w:rsidRDefault="00AB6213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会计学</w:t>
                  </w:r>
                </w:p>
                <w:p w:rsidR="00000000" w:rsidRDefault="00AB6213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会计学</w:t>
                  </w:r>
                </w:p>
                <w:p w:rsidR="00000000" w:rsidRDefault="00AB6213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会计学</w:t>
                  </w:r>
                </w:p>
                <w:p w:rsidR="00000000" w:rsidRDefault="00AB6213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会计学</w:t>
                  </w:r>
                </w:p>
              </w:tc>
              <w:tc>
                <w:tcPr>
                  <w:tcW w:w="1645" w:type="dxa"/>
                </w:tcPr>
                <w:p w:rsidR="00000000" w:rsidRDefault="00AB6213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联系电话</w:t>
                  </w:r>
                </w:p>
                <w:p w:rsidR="00000000" w:rsidRDefault="00AB6213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18811737182</w:t>
                  </w:r>
                </w:p>
                <w:p w:rsidR="00000000" w:rsidRDefault="00AB6213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1</w:t>
                  </w:r>
                  <w:r>
                    <w:rPr>
                      <w:rFonts w:ascii="宋体" w:hAnsi="宋体" w:hint="eastAsia"/>
                      <w:szCs w:val="21"/>
                    </w:rPr>
                    <w:t>3</w:t>
                  </w:r>
                  <w:r>
                    <w:rPr>
                      <w:rFonts w:ascii="宋体" w:hAnsi="宋体" w:hint="eastAsia"/>
                      <w:szCs w:val="21"/>
                    </w:rPr>
                    <w:t>961672350</w:t>
                  </w:r>
                </w:p>
                <w:p w:rsidR="00000000" w:rsidRDefault="00AB6213">
                  <w:pPr>
                    <w:jc w:val="center"/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13121492233</w:t>
                  </w:r>
                </w:p>
                <w:p w:rsidR="00000000" w:rsidRDefault="00AB6213">
                  <w:pPr>
                    <w:jc w:val="center"/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18810908236</w:t>
                  </w:r>
                </w:p>
                <w:p w:rsidR="00000000" w:rsidRDefault="00AB6213">
                  <w:pPr>
                    <w:jc w:val="center"/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18960556112</w:t>
                  </w:r>
                </w:p>
              </w:tc>
            </w:tr>
            <w:tr w:rsidR="00000000">
              <w:tc>
                <w:tcPr>
                  <w:tcW w:w="1644" w:type="dxa"/>
                  <w:vMerge w:val="restart"/>
                </w:tcPr>
                <w:p w:rsidR="00000000" w:rsidRDefault="00AB6213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指导老师</w:t>
                  </w:r>
                </w:p>
                <w:p w:rsidR="00000000" w:rsidRDefault="00AB6213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情况</w:t>
                  </w:r>
                </w:p>
              </w:tc>
              <w:tc>
                <w:tcPr>
                  <w:tcW w:w="1645" w:type="dxa"/>
                </w:tcPr>
                <w:p w:rsidR="00000000" w:rsidRDefault="00AB6213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姓名</w:t>
                  </w:r>
                </w:p>
              </w:tc>
              <w:tc>
                <w:tcPr>
                  <w:tcW w:w="1645" w:type="dxa"/>
                </w:tcPr>
                <w:p w:rsidR="00000000" w:rsidRDefault="00AB6213">
                  <w:pPr>
                    <w:jc w:val="center"/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张希玲</w:t>
                  </w:r>
                </w:p>
              </w:tc>
              <w:tc>
                <w:tcPr>
                  <w:tcW w:w="1645" w:type="dxa"/>
                </w:tcPr>
                <w:p w:rsidR="00000000" w:rsidRDefault="00AB6213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职务</w:t>
                  </w:r>
                </w:p>
              </w:tc>
              <w:tc>
                <w:tcPr>
                  <w:tcW w:w="1645" w:type="dxa"/>
                </w:tcPr>
                <w:p w:rsidR="00000000" w:rsidRDefault="00AB6213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000000">
              <w:tc>
                <w:tcPr>
                  <w:tcW w:w="1644" w:type="dxa"/>
                  <w:vMerge/>
                </w:tcPr>
                <w:p w:rsidR="00000000" w:rsidRDefault="00AB6213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645" w:type="dxa"/>
                </w:tcPr>
                <w:p w:rsidR="00000000" w:rsidRDefault="00AB6213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电话</w:t>
                  </w:r>
                </w:p>
              </w:tc>
              <w:tc>
                <w:tcPr>
                  <w:tcW w:w="1645" w:type="dxa"/>
                </w:tcPr>
                <w:p w:rsidR="00000000" w:rsidRDefault="00AB6213">
                  <w:pPr>
                    <w:jc w:val="center"/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13661025095</w:t>
                  </w:r>
                </w:p>
              </w:tc>
              <w:tc>
                <w:tcPr>
                  <w:tcW w:w="1645" w:type="dxa"/>
                </w:tcPr>
                <w:p w:rsidR="00000000" w:rsidRDefault="00AB6213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职称</w:t>
                  </w:r>
                </w:p>
              </w:tc>
              <w:tc>
                <w:tcPr>
                  <w:tcW w:w="1645" w:type="dxa"/>
                </w:tcPr>
                <w:p w:rsidR="00000000" w:rsidRDefault="00AB6213">
                  <w:pPr>
                    <w:jc w:val="center"/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副教授</w:t>
                  </w:r>
                </w:p>
              </w:tc>
            </w:tr>
          </w:tbl>
          <w:p w:rsidR="00000000" w:rsidRDefault="00AB6213">
            <w:pPr>
              <w:numPr>
                <w:ilvl w:val="0"/>
                <w:numId w:val="4"/>
              </w:num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研究背景</w:t>
            </w:r>
          </w:p>
          <w:p w:rsidR="00000000" w:rsidRDefault="00AB6213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szCs w:val="21"/>
              </w:rPr>
              <w:t>2017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10</w:t>
            </w:r>
            <w:r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>，财政部会计司</w:t>
            </w:r>
            <w:r>
              <w:rPr>
                <w:szCs w:val="21"/>
              </w:rPr>
              <w:t>发布了</w:t>
            </w: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关于印</w:t>
            </w:r>
            <w:r>
              <w:rPr>
                <w:rFonts w:hint="eastAsia"/>
                <w:szCs w:val="21"/>
              </w:rPr>
              <w:t>发修订〈企业会计准则第</w:t>
            </w:r>
            <w:r>
              <w:rPr>
                <w:szCs w:val="21"/>
              </w:rPr>
              <w:t>16</w:t>
            </w:r>
            <w:r>
              <w:rPr>
                <w:szCs w:val="21"/>
              </w:rPr>
              <w:t>号</w:t>
            </w:r>
            <w:r>
              <w:rPr>
                <w:szCs w:val="21"/>
              </w:rPr>
              <w:t>——</w:t>
            </w:r>
            <w:r>
              <w:rPr>
                <w:szCs w:val="21"/>
              </w:rPr>
              <w:t>政府补助〉的通</w:t>
            </w:r>
            <w:r>
              <w:rPr>
                <w:rFonts w:hint="eastAsia"/>
                <w:szCs w:val="21"/>
              </w:rPr>
              <w:t>知》（财会［</w:t>
            </w:r>
            <w:r>
              <w:rPr>
                <w:szCs w:val="21"/>
              </w:rPr>
              <w:t>2017</w:t>
            </w:r>
            <w:r>
              <w:rPr>
                <w:szCs w:val="21"/>
              </w:rPr>
              <w:t>］</w:t>
            </w:r>
            <w:r>
              <w:rPr>
                <w:szCs w:val="21"/>
              </w:rPr>
              <w:t>15</w:t>
            </w:r>
            <w:r>
              <w:rPr>
                <w:szCs w:val="21"/>
              </w:rPr>
              <w:t>号），新的《企业会计准则第</w:t>
            </w:r>
            <w:r>
              <w:rPr>
                <w:szCs w:val="21"/>
              </w:rPr>
              <w:t>16</w:t>
            </w:r>
            <w:r>
              <w:rPr>
                <w:szCs w:val="21"/>
              </w:rPr>
              <w:t>号</w:t>
            </w:r>
            <w:r>
              <w:rPr>
                <w:rFonts w:hint="eastAsia"/>
                <w:szCs w:val="21"/>
              </w:rPr>
              <w:t>——政府补助》（</w:t>
            </w:r>
            <w:r>
              <w:rPr>
                <w:szCs w:val="21"/>
              </w:rPr>
              <w:t>CAS16</w:t>
            </w:r>
            <w:r>
              <w:rPr>
                <w:szCs w:val="21"/>
              </w:rPr>
              <w:t>）自</w:t>
            </w:r>
            <w:r>
              <w:rPr>
                <w:szCs w:val="21"/>
              </w:rPr>
              <w:t>2017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6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12</w:t>
            </w:r>
            <w:r>
              <w:rPr>
                <w:szCs w:val="21"/>
              </w:rPr>
              <w:t>日起执</w:t>
            </w:r>
            <w:r>
              <w:rPr>
                <w:rFonts w:hint="eastAsia"/>
                <w:szCs w:val="21"/>
              </w:rPr>
              <w:t>行。其</w:t>
            </w:r>
            <w:r>
              <w:rPr>
                <w:szCs w:val="21"/>
              </w:rPr>
              <w:t>主要变化包括：政府补助与收入的界限划分更清晰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会计科目的使用与经济实质更相符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增加了净额法的会计处理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增加</w:t>
            </w:r>
            <w:r>
              <w:rPr>
                <w:szCs w:val="21"/>
              </w:rPr>
              <w:t>了财政贴息的会计处理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与资产相关的政府补助的递延收益摊销方法规定更合理。</w:t>
            </w:r>
          </w:p>
          <w:p w:rsidR="00000000" w:rsidRDefault="00AB6213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szCs w:val="21"/>
              </w:rPr>
              <w:t>政府的财政补助会影响市场经济的发展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政府能够通过相对的资金补助，来推动和引导我国企业的发展和变化。而政府所修订的准则影响会计的核算，</w:t>
            </w:r>
            <w:r>
              <w:rPr>
                <w:rFonts w:hint="eastAsia"/>
                <w:szCs w:val="21"/>
              </w:rPr>
              <w:t>对企业纳税、入账资产、利润报表等产生直接作用，进而会</w:t>
            </w:r>
            <w:r>
              <w:rPr>
                <w:szCs w:val="21"/>
              </w:rPr>
              <w:t>对企业的</w:t>
            </w:r>
            <w:r>
              <w:rPr>
                <w:rFonts w:hint="eastAsia"/>
                <w:szCs w:val="21"/>
              </w:rPr>
              <w:t>绩效</w:t>
            </w:r>
            <w:r>
              <w:rPr>
                <w:szCs w:val="21"/>
              </w:rPr>
              <w:t>产生影响。</w:t>
            </w:r>
          </w:p>
          <w:p w:rsidR="00000000" w:rsidRDefault="00AB6213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研究意义</w:t>
            </w:r>
          </w:p>
          <w:p w:rsidR="00000000" w:rsidRDefault="00AB6213">
            <w:pPr>
              <w:numPr>
                <w:ilvl w:val="0"/>
                <w:numId w:val="5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现实意义</w:t>
            </w:r>
            <w:r>
              <w:rPr>
                <w:rFonts w:ascii="宋体" w:hAnsi="宋体"/>
                <w:szCs w:val="21"/>
              </w:rPr>
              <w:t>：</w:t>
            </w:r>
          </w:p>
          <w:p w:rsidR="00000000" w:rsidRDefault="00AB6213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会计准则</w:t>
            </w:r>
            <w:r>
              <w:rPr>
                <w:rFonts w:ascii="宋体" w:hAnsi="宋体"/>
                <w:szCs w:val="21"/>
              </w:rPr>
              <w:t>不仅是市场经济的重要规则，也是维护高质量会计信息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引导社会资源合理配置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保护投资</w:t>
            </w:r>
            <w:r>
              <w:rPr>
                <w:rFonts w:ascii="宋体" w:hAnsi="宋体" w:hint="eastAsia"/>
                <w:szCs w:val="21"/>
              </w:rPr>
              <w:t>者</w:t>
            </w:r>
            <w:r>
              <w:rPr>
                <w:rFonts w:ascii="宋体" w:hAnsi="宋体"/>
                <w:szCs w:val="21"/>
              </w:rPr>
              <w:t>和社会公众利益的重要技术标准。</w:t>
            </w:r>
            <w:r>
              <w:rPr>
                <w:rFonts w:ascii="宋体" w:hAnsi="宋体" w:hint="eastAsia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年政府补助准则做了较大的调整和修订，我们将通过</w:t>
            </w:r>
            <w:r>
              <w:rPr>
                <w:rFonts w:ascii="宋体" w:hAnsi="宋体"/>
                <w:szCs w:val="21"/>
              </w:rPr>
              <w:t>研究</w:t>
            </w:r>
            <w:r>
              <w:rPr>
                <w:rFonts w:ascii="宋体" w:hAnsi="宋体" w:hint="eastAsia"/>
                <w:szCs w:val="21"/>
              </w:rPr>
              <w:t>发现这一准则</w:t>
            </w:r>
            <w:r>
              <w:rPr>
                <w:rFonts w:ascii="宋体" w:hAnsi="宋体"/>
                <w:szCs w:val="21"/>
              </w:rPr>
              <w:t>调整</w:t>
            </w:r>
            <w:r>
              <w:rPr>
                <w:rFonts w:ascii="宋体" w:hAnsi="宋体" w:hint="eastAsia"/>
                <w:szCs w:val="21"/>
              </w:rPr>
              <w:t>对</w:t>
            </w:r>
            <w:r>
              <w:rPr>
                <w:rFonts w:ascii="宋体" w:hAnsi="宋体"/>
                <w:szCs w:val="21"/>
              </w:rPr>
              <w:t>企业绩效的</w:t>
            </w:r>
            <w:r>
              <w:rPr>
                <w:rFonts w:ascii="宋体" w:hAnsi="宋体" w:hint="eastAsia"/>
                <w:szCs w:val="21"/>
              </w:rPr>
              <w:t>具</w:t>
            </w:r>
            <w:r>
              <w:rPr>
                <w:rFonts w:ascii="宋体" w:hAnsi="宋体" w:hint="eastAsia"/>
                <w:szCs w:val="21"/>
              </w:rPr>
              <w:t>体</w:t>
            </w:r>
            <w:r>
              <w:rPr>
                <w:rFonts w:ascii="宋体" w:hAnsi="宋体"/>
                <w:szCs w:val="21"/>
              </w:rPr>
              <w:t>影响</w:t>
            </w:r>
            <w:r>
              <w:rPr>
                <w:rFonts w:ascii="宋体" w:hAnsi="宋体" w:hint="eastAsia"/>
                <w:szCs w:val="21"/>
              </w:rPr>
              <w:t>，探寻政策</w:t>
            </w:r>
            <w:r>
              <w:rPr>
                <w:rFonts w:ascii="宋体" w:hAnsi="宋体"/>
                <w:szCs w:val="21"/>
              </w:rPr>
              <w:t>实施的</w:t>
            </w:r>
            <w:r>
              <w:rPr>
                <w:rFonts w:ascii="宋体" w:hAnsi="宋体" w:hint="eastAsia"/>
                <w:szCs w:val="21"/>
              </w:rPr>
              <w:t>效果、</w:t>
            </w:r>
            <w:r>
              <w:rPr>
                <w:rFonts w:ascii="宋体" w:hAnsi="宋体"/>
                <w:szCs w:val="21"/>
              </w:rPr>
              <w:t>目的是否达到</w:t>
            </w:r>
            <w:r>
              <w:rPr>
                <w:rFonts w:ascii="宋体" w:hAnsi="宋体" w:hint="eastAsia"/>
                <w:szCs w:val="21"/>
              </w:rPr>
              <w:t>以及</w:t>
            </w:r>
            <w:r>
              <w:rPr>
                <w:rFonts w:ascii="宋体" w:hAnsi="宋体"/>
                <w:szCs w:val="21"/>
              </w:rPr>
              <w:t>政策调整</w:t>
            </w:r>
            <w:r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合理性。</w:t>
            </w:r>
          </w:p>
          <w:p w:rsidR="00000000" w:rsidRDefault="00AB6213">
            <w:pPr>
              <w:numPr>
                <w:ilvl w:val="0"/>
                <w:numId w:val="5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理论意义</w:t>
            </w:r>
          </w:p>
          <w:p w:rsidR="00000000" w:rsidRDefault="00AB6213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在会计</w:t>
            </w:r>
            <w:r>
              <w:rPr>
                <w:rFonts w:ascii="宋体" w:hAnsi="宋体"/>
                <w:szCs w:val="21"/>
              </w:rPr>
              <w:t>准则不断</w:t>
            </w:r>
            <w:r>
              <w:rPr>
                <w:rFonts w:ascii="宋体" w:hAnsi="宋体" w:hint="eastAsia"/>
                <w:szCs w:val="21"/>
              </w:rPr>
              <w:t>改变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现状</w:t>
            </w:r>
            <w:r>
              <w:rPr>
                <w:rFonts w:ascii="宋体" w:hAnsi="宋体"/>
                <w:szCs w:val="21"/>
              </w:rPr>
              <w:t>下，</w:t>
            </w:r>
            <w:r>
              <w:rPr>
                <w:rFonts w:ascii="宋体" w:hAnsi="宋体" w:hint="eastAsia"/>
                <w:szCs w:val="21"/>
              </w:rPr>
              <w:t>为</w:t>
            </w:r>
            <w:r>
              <w:rPr>
                <w:rFonts w:ascii="宋体" w:hAnsi="宋体"/>
                <w:szCs w:val="21"/>
              </w:rPr>
              <w:t>企业</w:t>
            </w:r>
            <w:r>
              <w:rPr>
                <w:rFonts w:ascii="宋体" w:hAnsi="宋体" w:hint="eastAsia"/>
                <w:szCs w:val="21"/>
              </w:rPr>
              <w:t>如何紧跟</w:t>
            </w:r>
            <w:r>
              <w:rPr>
                <w:rFonts w:ascii="宋体" w:hAnsi="宋体"/>
                <w:szCs w:val="21"/>
              </w:rPr>
              <w:t>准则的变化，</w:t>
            </w:r>
            <w:r>
              <w:rPr>
                <w:rFonts w:ascii="宋体" w:hAnsi="宋体" w:hint="eastAsia"/>
                <w:szCs w:val="21"/>
              </w:rPr>
              <w:t>进行更为</w:t>
            </w:r>
            <w:r>
              <w:rPr>
                <w:rFonts w:ascii="宋体" w:hAnsi="宋体"/>
                <w:szCs w:val="21"/>
              </w:rPr>
              <w:t>合理的</w:t>
            </w:r>
            <w:r>
              <w:rPr>
                <w:rFonts w:ascii="宋体" w:hAnsi="宋体" w:hint="eastAsia"/>
                <w:szCs w:val="21"/>
              </w:rPr>
              <w:t>计量</w:t>
            </w:r>
            <w:r>
              <w:rPr>
                <w:rFonts w:ascii="宋体" w:hAnsi="宋体"/>
                <w:szCs w:val="21"/>
              </w:rPr>
              <w:t>、核算和列报</w:t>
            </w:r>
            <w:r>
              <w:rPr>
                <w:rFonts w:ascii="宋体" w:hAnsi="宋体" w:hint="eastAsia"/>
                <w:szCs w:val="21"/>
              </w:rPr>
              <w:t>，提供</w:t>
            </w:r>
            <w:r>
              <w:rPr>
                <w:rFonts w:ascii="宋体" w:hAnsi="宋体"/>
                <w:szCs w:val="21"/>
              </w:rPr>
              <w:t>理论支持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000000" w:rsidRDefault="00AB6213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研究内容</w:t>
            </w:r>
          </w:p>
          <w:p w:rsidR="00000000" w:rsidRDefault="00AB6213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本项目将研究</w:t>
            </w:r>
            <w:r>
              <w:rPr>
                <w:rFonts w:ascii="宋体" w:hAnsi="宋体" w:hint="eastAsia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年新修订的</w:t>
            </w:r>
            <w:r>
              <w:rPr>
                <w:szCs w:val="21"/>
              </w:rPr>
              <w:t>《企业会计准则第</w:t>
            </w:r>
            <w:r>
              <w:rPr>
                <w:szCs w:val="21"/>
              </w:rPr>
              <w:t>16</w:t>
            </w:r>
            <w:r>
              <w:rPr>
                <w:szCs w:val="21"/>
              </w:rPr>
              <w:t>号</w:t>
            </w:r>
            <w:r>
              <w:rPr>
                <w:rFonts w:hint="eastAsia"/>
                <w:szCs w:val="21"/>
              </w:rPr>
              <w:t>——政府补助》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与</w:t>
            </w: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的旧企业会计准则进行对比分析，通过研究上市公司的年报，对其绩效变动进行分析评价。通过对国内外学者相关文献、国家政策性文件的梳理和总结，结合所选取的视角，研究新准则下的政府补助对企业绩效变动的影响，</w:t>
            </w:r>
            <w:r>
              <w:rPr>
                <w:rFonts w:ascii="宋体" w:hAnsi="宋体" w:hint="eastAsia"/>
                <w:szCs w:val="21"/>
              </w:rPr>
              <w:t>探寻政策</w:t>
            </w:r>
            <w:r>
              <w:rPr>
                <w:rFonts w:ascii="宋体" w:hAnsi="宋体"/>
                <w:szCs w:val="21"/>
              </w:rPr>
              <w:t>实施的</w:t>
            </w:r>
            <w:r>
              <w:rPr>
                <w:rFonts w:ascii="宋体" w:hAnsi="宋体" w:hint="eastAsia"/>
                <w:szCs w:val="21"/>
              </w:rPr>
              <w:t>效果、</w:t>
            </w:r>
            <w:r>
              <w:rPr>
                <w:rFonts w:ascii="宋体" w:hAnsi="宋体"/>
                <w:szCs w:val="21"/>
              </w:rPr>
              <w:t>目的是否达到</w:t>
            </w:r>
            <w:r>
              <w:rPr>
                <w:rFonts w:ascii="宋体" w:hAnsi="宋体" w:hint="eastAsia"/>
                <w:szCs w:val="21"/>
              </w:rPr>
              <w:t>以及</w:t>
            </w:r>
            <w:r>
              <w:rPr>
                <w:rFonts w:ascii="宋体" w:hAnsi="宋体"/>
                <w:szCs w:val="21"/>
              </w:rPr>
              <w:t>政策调整</w:t>
            </w:r>
            <w:r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合理</w:t>
            </w:r>
            <w:r>
              <w:rPr>
                <w:rFonts w:ascii="宋体" w:hAnsi="宋体"/>
                <w:szCs w:val="21"/>
              </w:rPr>
              <w:t>性</w:t>
            </w:r>
            <w:r>
              <w:rPr>
                <w:rFonts w:hint="eastAsia"/>
                <w:szCs w:val="21"/>
              </w:rPr>
              <w:t>。</w:t>
            </w:r>
          </w:p>
          <w:p w:rsidR="00000000" w:rsidRDefault="00AB6213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研究方法</w:t>
            </w:r>
          </w:p>
          <w:p w:rsidR="00000000" w:rsidRDefault="00AB6213">
            <w:pPr>
              <w:numPr>
                <w:ilvl w:val="0"/>
                <w:numId w:val="3"/>
              </w:num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文献研究法</w:t>
            </w:r>
          </w:p>
          <w:p w:rsidR="00000000" w:rsidRDefault="00AB6213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根据研究目的以及研究内容，在前期阅读相关文献、国家政策性文件，了解问题的研究情况，形成关于本次调查研究的一般印象，从而全面而又正确的了解所研究的问题。</w:t>
            </w:r>
          </w:p>
          <w:p w:rsidR="00000000" w:rsidRDefault="00AB6213">
            <w:pPr>
              <w:numPr>
                <w:ilvl w:val="0"/>
                <w:numId w:val="3"/>
              </w:num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个案研究法</w:t>
            </w:r>
          </w:p>
          <w:p w:rsidR="00000000" w:rsidRDefault="00AB6213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研究接受政府补助后企业绩效发生明显改变的个别典型企业，分析其绩效发生变化的原因，成功的原因可为其他企业提供参考意见，并为后期结论的证明提供数据材料。</w:t>
            </w:r>
          </w:p>
          <w:p w:rsidR="00000000" w:rsidRDefault="00AB6213">
            <w:pPr>
              <w:numPr>
                <w:ilvl w:val="0"/>
                <w:numId w:val="3"/>
              </w:num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模型分析法</w:t>
            </w:r>
          </w:p>
          <w:p w:rsidR="00000000" w:rsidRDefault="00AB6213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通过构建模型进项回归分析、相关性分析以及内生检验等方法查看政府补助对企业绩效的影响，采取的衡量指标为资产收益率、净资产收益率、全要素生产率以及托宾</w:t>
            </w:r>
            <w:r>
              <w:rPr>
                <w:rFonts w:ascii="宋体" w:hAnsi="宋体" w:hint="eastAsia"/>
                <w:szCs w:val="21"/>
              </w:rPr>
              <w:t>q</w:t>
            </w:r>
            <w:r>
              <w:rPr>
                <w:rFonts w:ascii="宋体" w:hAnsi="宋体" w:hint="eastAsia"/>
                <w:szCs w:val="21"/>
              </w:rPr>
              <w:t>值等变量。</w:t>
            </w:r>
          </w:p>
          <w:p w:rsidR="00000000" w:rsidRDefault="00AB6213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000000">
        <w:tc>
          <w:tcPr>
            <w:tcW w:w="82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6213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实施计划及方案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明确</w:t>
            </w:r>
            <w:r>
              <w:rPr>
                <w:rFonts w:hint="eastAsia"/>
              </w:rPr>
              <w:t>各个环节对培养学生创新能力的具体思路及考核办法</w:t>
            </w:r>
            <w:r>
              <w:rPr>
                <w:rFonts w:ascii="宋体" w:hAnsi="宋体"/>
                <w:szCs w:val="21"/>
              </w:rPr>
              <w:t>)</w:t>
            </w:r>
          </w:p>
          <w:p w:rsidR="00000000" w:rsidRDefault="00AB6213">
            <w:pPr>
              <w:rPr>
                <w:rFonts w:ascii="宋体" w:hAnsi="宋体" w:hint="eastAsia"/>
                <w:szCs w:val="21"/>
              </w:rPr>
            </w:pPr>
          </w:p>
          <w:p w:rsidR="00000000" w:rsidRDefault="00AB6213">
            <w:pPr>
              <w:rPr>
                <w:rFonts w:hint="eastAsia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  <w:p w:rsidR="00000000" w:rsidRDefault="00AB621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文献研究、总结撰写文献综述、细化研究方案。对新会计准则、经典著作与学者论文进行研究和学习，掌握有关政府补助的理论等，培养学习能力、文献搜索与识别能力、文献分析与综述写作能力，提升严谨度和规范性。</w:t>
            </w:r>
          </w:p>
          <w:p w:rsidR="00000000" w:rsidRDefault="00AB6213">
            <w:pPr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  <w:p w:rsidR="00000000" w:rsidRDefault="00AB621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数据收集与处理。要求参与者的协调能力，能够准确快速找到相关上市公司的年报并正确提取相关数据，培养数据收集整理能力。并且及时处理，运用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等工具收集整理数</w:t>
            </w:r>
            <w:r>
              <w:rPr>
                <w:rFonts w:hint="eastAsia"/>
              </w:rPr>
              <w:t>据，提高熟练度。</w:t>
            </w:r>
          </w:p>
          <w:p w:rsidR="00000000" w:rsidRDefault="00AB6213">
            <w:pPr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  <w:p w:rsidR="00000000" w:rsidRDefault="00AB6213">
            <w:pPr>
              <w:ind w:firstLineChars="100" w:firstLine="210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调查阶段数据收集与处理，本阶段与下两个阶段均要求</w:t>
            </w:r>
            <w:r>
              <w:rPr>
                <w:rFonts w:ascii="宋体" w:hint="eastAsia"/>
                <w:szCs w:val="21"/>
              </w:rPr>
              <w:t>参与者</w:t>
            </w:r>
            <w:r>
              <w:rPr>
                <w:rFonts w:ascii="宋体" w:hint="eastAsia"/>
                <w:szCs w:val="21"/>
              </w:rPr>
              <w:t>对数据的处理与分析能力，能够清楚的理解收集数据的意义，将培养学生运用</w:t>
            </w:r>
            <w:r>
              <w:rPr>
                <w:rFonts w:ascii="宋体" w:hint="eastAsia"/>
                <w:szCs w:val="21"/>
              </w:rPr>
              <w:t>各种</w:t>
            </w:r>
            <w:r>
              <w:rPr>
                <w:rFonts w:ascii="宋体" w:hint="eastAsia"/>
                <w:szCs w:val="21"/>
              </w:rPr>
              <w:t>计量分析软件的能力，并促使其将理论运用于数据和模型的解释过程中，能增强分析解决问题的能力，使学生对问题的理解更加深入。同时，在本阶段后期与后阶段，将着力培养与锻炼学生，学以致用，及学术论文写作的能力。</w:t>
            </w:r>
          </w:p>
          <w:p w:rsidR="00000000" w:rsidRDefault="00AB6213">
            <w:pPr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  <w:p w:rsidR="00000000" w:rsidRDefault="00AB6213">
            <w:pPr>
              <w:rPr>
                <w:rFonts w:ascii="宋体" w:hint="eastAsia"/>
                <w:b/>
                <w:szCs w:val="2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撰写“新准则下政府补助对上市公司绩效变动的影响”分析报告。根据所收集数据对我国上市公司并购绩</w:t>
            </w:r>
            <w:r>
              <w:rPr>
                <w:rFonts w:hint="eastAsia"/>
              </w:rPr>
              <w:t>效进行分析研究得到初步结论，并依据前三阶段研究成果分析形成原因和影响对论文进行修改，完成本课题并进行总结。</w:t>
            </w:r>
          </w:p>
          <w:p w:rsidR="00000000" w:rsidRDefault="00AB6213">
            <w:pPr>
              <w:rPr>
                <w:rFonts w:ascii="宋体" w:hint="eastAsia"/>
                <w:b/>
                <w:szCs w:val="21"/>
              </w:rPr>
            </w:pPr>
          </w:p>
        </w:tc>
      </w:tr>
    </w:tbl>
    <w:p w:rsidR="00000000" w:rsidRDefault="00AB6213">
      <w:pPr>
        <w:jc w:val="left"/>
        <w:rPr>
          <w:rStyle w:val="a"/>
        </w:rPr>
      </w:pP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80"/>
      </w:tblGrid>
      <w:tr w:rsidR="00000000"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62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三、项目实施的基础和条件</w:t>
            </w:r>
          </w:p>
          <w:p w:rsidR="00000000" w:rsidRDefault="00AB6213">
            <w:pPr>
              <w:tabs>
                <w:tab w:val="left" w:pos="1914"/>
              </w:tabs>
              <w:ind w:firstLineChars="200" w:firstLine="420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1. </w:t>
            </w:r>
            <w:r>
              <w:rPr>
                <w:rFonts w:ascii="宋体" w:hint="eastAsia"/>
                <w:szCs w:val="21"/>
              </w:rPr>
              <w:t>指</w:t>
            </w:r>
            <w:r>
              <w:rPr>
                <w:rFonts w:ascii="宋体" w:hint="eastAsia"/>
                <w:bCs/>
                <w:szCs w:val="21"/>
              </w:rPr>
              <w:t>导教师多年从事会计、财务管理方面课题的教学研究工作，熟悉会计准则及企业绩效相关性研究领域，可以在研究过程及报告撰写过程中给与建设性意见。</w:t>
            </w:r>
          </w:p>
          <w:p w:rsidR="00000000" w:rsidRDefault="00AB6213">
            <w:pPr>
              <w:tabs>
                <w:tab w:val="left" w:pos="1914"/>
              </w:tabs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 xml:space="preserve">    2. </w:t>
            </w:r>
            <w:r>
              <w:rPr>
                <w:rFonts w:ascii="宋体" w:hint="eastAsia"/>
                <w:bCs/>
                <w:szCs w:val="21"/>
              </w:rPr>
              <w:t>本</w:t>
            </w:r>
            <w:r>
              <w:rPr>
                <w:rFonts w:ascii="宋体" w:hint="eastAsia"/>
                <w:bCs/>
                <w:szCs w:val="21"/>
              </w:rPr>
              <w:t>URP</w:t>
            </w:r>
            <w:r>
              <w:rPr>
                <w:rFonts w:ascii="宋体" w:hint="eastAsia"/>
                <w:bCs/>
                <w:szCs w:val="21"/>
              </w:rPr>
              <w:t>小组的五名成员均来自会计专业，并且已学过会计学原理、财务会计学等相关课程，专业知识匹配度高，同时对会计准则有较强的兴趣爱好和研究意愿，有能力收集相关资料并自主开展研究。</w:t>
            </w:r>
          </w:p>
          <w:p w:rsidR="00000000" w:rsidRDefault="00AB6213">
            <w:pPr>
              <w:tabs>
                <w:tab w:val="left" w:pos="1914"/>
              </w:tabs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 xml:space="preserve">    3. </w:t>
            </w:r>
            <w:r>
              <w:rPr>
                <w:rFonts w:ascii="宋体" w:hint="eastAsia"/>
                <w:bCs/>
                <w:szCs w:val="21"/>
              </w:rPr>
              <w:t>该研究数据资料取自上</w:t>
            </w:r>
            <w:r>
              <w:rPr>
                <w:rFonts w:ascii="宋体" w:hint="eastAsia"/>
                <w:bCs/>
                <w:szCs w:val="21"/>
              </w:rPr>
              <w:t>市公司的年报，方便收集。</w:t>
            </w:r>
          </w:p>
          <w:p w:rsidR="00000000" w:rsidRDefault="00AB6213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000000"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62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四、学生提交的成果</w:t>
            </w:r>
          </w:p>
          <w:p w:rsidR="00000000" w:rsidRDefault="00AB6213">
            <w:pPr>
              <w:tabs>
                <w:tab w:val="left" w:pos="3225"/>
              </w:tabs>
              <w:rPr>
                <w:rFonts w:ascii="宋体" w:hint="eastAsia"/>
                <w:b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 xml:space="preserve">    </w:t>
            </w:r>
            <w:r>
              <w:rPr>
                <w:rFonts w:ascii="宋体" w:hint="eastAsia"/>
                <w:bCs/>
                <w:szCs w:val="21"/>
              </w:rPr>
              <w:t>根据研究结果，撰写案例分析报告一篇</w:t>
            </w:r>
            <w:r>
              <w:rPr>
                <w:rFonts w:ascii="宋体" w:hint="eastAsia"/>
                <w:b/>
                <w:szCs w:val="21"/>
              </w:rPr>
              <w:tab/>
            </w:r>
          </w:p>
          <w:p w:rsidR="00000000" w:rsidRDefault="00AB6213">
            <w:pPr>
              <w:rPr>
                <w:rFonts w:ascii="宋体" w:hint="eastAsia"/>
                <w:b/>
                <w:szCs w:val="21"/>
              </w:rPr>
            </w:pPr>
          </w:p>
          <w:p w:rsidR="00000000" w:rsidRDefault="00AB6213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000000">
        <w:trPr>
          <w:trHeight w:val="2623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621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五、经费预算</w:t>
            </w:r>
          </w:p>
          <w:p w:rsidR="00000000" w:rsidRDefault="00AB621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资料费</w:t>
            </w:r>
            <w:r w:rsidR="00767042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元</w:t>
            </w:r>
          </w:p>
          <w:p w:rsidR="00000000" w:rsidRDefault="00AB621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打印费</w:t>
            </w:r>
            <w:r w:rsidR="00767042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元</w:t>
            </w:r>
          </w:p>
          <w:p w:rsidR="00000000" w:rsidRDefault="00AB621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文献查阅及数据收集费</w:t>
            </w:r>
            <w:r w:rsidR="00767042">
              <w:rPr>
                <w:rFonts w:ascii="宋体" w:hAnsi="宋体" w:hint="eastAsia"/>
                <w:szCs w:val="21"/>
              </w:rPr>
              <w:t>18</w:t>
            </w:r>
            <w:r>
              <w:rPr>
                <w:rFonts w:ascii="宋体" w:hAnsi="宋体" w:hint="eastAsia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元</w:t>
            </w:r>
          </w:p>
          <w:p w:rsidR="00000000" w:rsidRDefault="00AB621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差旅费</w:t>
            </w:r>
            <w:r w:rsidR="00767042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元</w:t>
            </w:r>
          </w:p>
          <w:p w:rsidR="00000000" w:rsidRDefault="00AB621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000000" w:rsidRDefault="00AB6213">
            <w:pPr>
              <w:rPr>
                <w:rFonts w:ascii="宋体" w:hAnsi="宋体" w:hint="eastAsia"/>
                <w:szCs w:val="21"/>
              </w:rPr>
            </w:pPr>
          </w:p>
          <w:p w:rsidR="00000000" w:rsidRDefault="00AB6213">
            <w:pPr>
              <w:rPr>
                <w:rFonts w:ascii="宋体" w:hAnsi="宋体" w:hint="eastAsia"/>
                <w:szCs w:val="21"/>
              </w:rPr>
            </w:pPr>
          </w:p>
          <w:p w:rsidR="00000000" w:rsidRDefault="00AB6213">
            <w:pPr>
              <w:rPr>
                <w:rFonts w:ascii="宋体" w:hAnsi="宋体" w:hint="eastAsia"/>
                <w:szCs w:val="21"/>
              </w:rPr>
            </w:pPr>
          </w:p>
          <w:p w:rsidR="00000000" w:rsidRDefault="00AB6213">
            <w:pPr>
              <w:rPr>
                <w:rFonts w:ascii="宋体" w:hAnsi="宋体" w:hint="eastAsia"/>
                <w:szCs w:val="21"/>
              </w:rPr>
            </w:pPr>
          </w:p>
          <w:p w:rsidR="00000000" w:rsidRDefault="00AB6213">
            <w:pPr>
              <w:rPr>
                <w:rFonts w:ascii="宋体" w:hAnsi="宋体" w:hint="eastAsia"/>
                <w:szCs w:val="21"/>
              </w:rPr>
            </w:pPr>
          </w:p>
          <w:p w:rsidR="00000000" w:rsidRDefault="00AB6213">
            <w:pPr>
              <w:rPr>
                <w:rFonts w:ascii="宋体" w:hAnsi="宋体" w:hint="eastAsia"/>
                <w:szCs w:val="21"/>
              </w:rPr>
            </w:pPr>
          </w:p>
          <w:p w:rsidR="00000000" w:rsidRDefault="00AB6213">
            <w:pPr>
              <w:rPr>
                <w:rFonts w:ascii="宋体" w:hAnsi="宋体" w:hint="eastAsia"/>
                <w:szCs w:val="21"/>
              </w:rPr>
            </w:pPr>
          </w:p>
          <w:p w:rsidR="00000000" w:rsidRDefault="00AB6213">
            <w:pPr>
              <w:rPr>
                <w:rFonts w:ascii="宋体" w:hAnsi="宋体" w:hint="eastAsia"/>
                <w:szCs w:val="21"/>
              </w:rPr>
            </w:pPr>
          </w:p>
        </w:tc>
      </w:tr>
      <w:tr w:rsidR="00000000"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621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六、学院</w:t>
            </w:r>
            <w:r>
              <w:rPr>
                <w:rFonts w:ascii="宋体" w:hAnsi="宋体" w:hint="eastAsia"/>
                <w:szCs w:val="21"/>
              </w:rPr>
              <w:t>URP</w:t>
            </w:r>
            <w:r>
              <w:rPr>
                <w:rFonts w:ascii="宋体" w:hAnsi="宋体" w:hint="eastAsia"/>
                <w:szCs w:val="21"/>
              </w:rPr>
              <w:t>领导小组意见</w:t>
            </w:r>
          </w:p>
          <w:p w:rsidR="00000000" w:rsidRDefault="00AB6213">
            <w:pPr>
              <w:rPr>
                <w:rFonts w:ascii="宋体" w:hAnsi="宋体" w:hint="eastAsia"/>
                <w:szCs w:val="21"/>
              </w:rPr>
            </w:pPr>
          </w:p>
          <w:p w:rsidR="00000000" w:rsidRDefault="00AB6213">
            <w:pPr>
              <w:rPr>
                <w:rFonts w:ascii="宋体" w:hAnsi="宋体" w:hint="eastAsia"/>
                <w:szCs w:val="21"/>
              </w:rPr>
            </w:pPr>
          </w:p>
          <w:p w:rsidR="00000000" w:rsidRDefault="00AB6213">
            <w:pPr>
              <w:rPr>
                <w:rFonts w:ascii="宋体" w:hAnsi="宋体" w:hint="eastAsia"/>
                <w:szCs w:val="21"/>
              </w:rPr>
            </w:pPr>
          </w:p>
          <w:p w:rsidR="00000000" w:rsidRDefault="00AB6213">
            <w:pPr>
              <w:rPr>
                <w:rFonts w:ascii="宋体" w:hAnsi="宋体" w:hint="eastAsia"/>
                <w:szCs w:val="21"/>
              </w:rPr>
            </w:pPr>
          </w:p>
          <w:p w:rsidR="00000000" w:rsidRDefault="00AB6213">
            <w:pPr>
              <w:rPr>
                <w:rFonts w:ascii="宋体" w:hAnsi="宋体" w:hint="eastAsia"/>
                <w:szCs w:val="21"/>
              </w:rPr>
            </w:pPr>
          </w:p>
          <w:p w:rsidR="00000000" w:rsidRDefault="00AB6213">
            <w:pPr>
              <w:rPr>
                <w:rFonts w:ascii="宋体" w:hAnsi="宋体" w:hint="eastAsia"/>
                <w:szCs w:val="21"/>
              </w:rPr>
            </w:pPr>
          </w:p>
          <w:p w:rsidR="00000000" w:rsidRDefault="00AB6213">
            <w:pPr>
              <w:rPr>
                <w:rFonts w:ascii="宋体" w:hAnsi="宋体" w:hint="eastAsia"/>
                <w:szCs w:val="21"/>
              </w:rPr>
            </w:pPr>
          </w:p>
          <w:p w:rsidR="00000000" w:rsidRDefault="00AB6213">
            <w:pPr>
              <w:rPr>
                <w:rFonts w:ascii="宋体" w:hAnsi="宋体" w:hint="eastAsia"/>
                <w:szCs w:val="21"/>
              </w:rPr>
            </w:pPr>
          </w:p>
          <w:p w:rsidR="00000000" w:rsidRDefault="00AB6213">
            <w:pPr>
              <w:rPr>
                <w:rFonts w:ascii="宋体" w:hAnsi="宋体" w:hint="eastAsia"/>
                <w:szCs w:val="21"/>
              </w:rPr>
            </w:pPr>
          </w:p>
          <w:p w:rsidR="00000000" w:rsidRDefault="00AB6213">
            <w:pPr>
              <w:ind w:firstLineChars="2100" w:firstLine="44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（盖章）</w:t>
            </w:r>
          </w:p>
          <w:p w:rsidR="00000000" w:rsidRDefault="00AB62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000000" w:rsidRDefault="00AB6213">
            <w:pPr>
              <w:rPr>
                <w:rFonts w:ascii="宋体"/>
                <w:b/>
                <w:szCs w:val="21"/>
              </w:rPr>
            </w:pPr>
          </w:p>
        </w:tc>
      </w:tr>
    </w:tbl>
    <w:p w:rsidR="00AB6213" w:rsidRDefault="00AB6213">
      <w:pPr>
        <w:rPr>
          <w:rFonts w:hint="eastAsia"/>
        </w:rPr>
      </w:pPr>
    </w:p>
    <w:sectPr w:rsidR="00AB621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13" w:rsidRDefault="00AB6213">
      <w:r>
        <w:separator/>
      </w:r>
    </w:p>
  </w:endnote>
  <w:endnote w:type="continuationSeparator" w:id="0">
    <w:p w:rsidR="00AB6213" w:rsidRDefault="00AB6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7A"/>
    <w:family w:val="modern"/>
    <w:pitch w:val="default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B6213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AB621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B6213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B47EBE">
      <w:rPr>
        <w:rStyle w:val="a4"/>
        <w:noProof/>
      </w:rPr>
      <w:t>4</w:t>
    </w:r>
    <w:r>
      <w:fldChar w:fldCharType="end"/>
    </w:r>
  </w:p>
  <w:p w:rsidR="00000000" w:rsidRDefault="00AB621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13" w:rsidRDefault="00AB6213">
      <w:r>
        <w:separator/>
      </w:r>
    </w:p>
  </w:footnote>
  <w:footnote w:type="continuationSeparator" w:id="0">
    <w:p w:rsidR="00AB6213" w:rsidRDefault="00AB6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FB53377"/>
    <w:lvl w:ilvl="0">
      <w:start w:val="3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00000002"/>
    <w:multiLevelType w:val="singleLevel"/>
    <w:tmpl w:val="F6C0F5F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00000003"/>
    <w:multiLevelType w:val="singleLevel"/>
    <w:tmpl w:val="3309E7A9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00000004"/>
    <w:multiLevelType w:val="multilevel"/>
    <w:tmpl w:val="42114EDE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05"/>
    <w:multiLevelType w:val="singleLevel"/>
    <w:tmpl w:val="74F13C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42C6F"/>
    <w:rsid w:val="000F414A"/>
    <w:rsid w:val="001E7F16"/>
    <w:rsid w:val="002969BF"/>
    <w:rsid w:val="002C4E2B"/>
    <w:rsid w:val="002E1E3A"/>
    <w:rsid w:val="003665DB"/>
    <w:rsid w:val="003D09CA"/>
    <w:rsid w:val="003F090B"/>
    <w:rsid w:val="004111DF"/>
    <w:rsid w:val="005500A4"/>
    <w:rsid w:val="00621525"/>
    <w:rsid w:val="006955D3"/>
    <w:rsid w:val="00697A83"/>
    <w:rsid w:val="00705C34"/>
    <w:rsid w:val="00754218"/>
    <w:rsid w:val="00767042"/>
    <w:rsid w:val="00784643"/>
    <w:rsid w:val="00951A09"/>
    <w:rsid w:val="009B6878"/>
    <w:rsid w:val="009B7A55"/>
    <w:rsid w:val="009F0C0D"/>
    <w:rsid w:val="00A26226"/>
    <w:rsid w:val="00A3633B"/>
    <w:rsid w:val="00A86A11"/>
    <w:rsid w:val="00AB6213"/>
    <w:rsid w:val="00B10951"/>
    <w:rsid w:val="00B47EBE"/>
    <w:rsid w:val="00C6194E"/>
    <w:rsid w:val="00C6557A"/>
    <w:rsid w:val="00CA59D1"/>
    <w:rsid w:val="00CD6757"/>
    <w:rsid w:val="00CE782F"/>
    <w:rsid w:val="00DD5DA2"/>
    <w:rsid w:val="00E63A9D"/>
    <w:rsid w:val="00E85A68"/>
    <w:rsid w:val="00EA364E"/>
    <w:rsid w:val="00EB6166"/>
    <w:rsid w:val="00F247C7"/>
    <w:rsid w:val="00F54F7A"/>
    <w:rsid w:val="00F856B4"/>
    <w:rsid w:val="00FD3DFB"/>
    <w:rsid w:val="184122F4"/>
    <w:rsid w:val="2A2D3109"/>
    <w:rsid w:val="3CCA4679"/>
    <w:rsid w:val="41786225"/>
    <w:rsid w:val="464626E9"/>
    <w:rsid w:val="4B6B0C8A"/>
    <w:rsid w:val="63876D64"/>
    <w:rsid w:val="7337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Pr>
      <w:rFonts w:ascii="Times New Roman" w:eastAsia="宋体" w:hAnsi="Times New Roman" w:cs="Times New Roman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Body Text Indent"/>
    <w:basedOn w:val="a"/>
    <w:pPr>
      <w:spacing w:line="340" w:lineRule="atLeast"/>
      <w:ind w:left="360"/>
    </w:pPr>
    <w:rPr>
      <w:rFonts w:ascii="宋体" w:hAnsi="宋体" w:hint="eastAsia"/>
      <w:spacing w:val="14"/>
    </w:rPr>
  </w:style>
  <w:style w:type="paragraph" w:styleId="a8">
    <w:name w:val="Date"/>
    <w:basedOn w:val="a"/>
    <w:next w:val="a"/>
    <w:pPr>
      <w:ind w:leftChars="2500"/>
    </w:pPr>
    <w:rPr>
      <w:b/>
      <w:bCs/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2141</Characters>
  <Application>Microsoft Office Word</Application>
  <DocSecurity>0</DocSecurity>
  <Lines>17</Lines>
  <Paragraphs>5</Paragraphs>
  <ScaleCrop>false</ScaleCrop>
  <Company>jwc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教务处通知（2002）第（045）号</dc:title>
  <dc:creator>zhy</dc:creator>
  <cp:lastModifiedBy>Admin</cp:lastModifiedBy>
  <cp:revision>2</cp:revision>
  <cp:lastPrinted>2004-03-15T08:05:00Z</cp:lastPrinted>
  <dcterms:created xsi:type="dcterms:W3CDTF">2018-11-29T00:52:00Z</dcterms:created>
  <dcterms:modified xsi:type="dcterms:W3CDTF">2018-11-29T00:52:00Z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-1032565596</vt:r8>
  </property>
  <property fmtid="{D5CDD505-2E9C-101B-9397-08002B2CF9AE}" pid="3" name="_EmailSubject">
    <vt:lpwstr>下发文件</vt:lpwstr>
  </property>
  <property fmtid="{D5CDD505-2E9C-101B-9397-08002B2CF9AE}" pid="4" name="_AuthorEmail">
    <vt:lpwstr>xq@mail.cau.edu.cn</vt:lpwstr>
  </property>
  <property fmtid="{D5CDD505-2E9C-101B-9397-08002B2CF9AE}" pid="5" name="_AuthorEmailDisplayName">
    <vt:lpwstr>席清</vt:lpwstr>
  </property>
  <property fmtid="{D5CDD505-2E9C-101B-9397-08002B2CF9AE}" pid="6" name="_ReviewingToolsShownOnce">
    <vt:lpwstr/>
  </property>
  <property fmtid="{D5CDD505-2E9C-101B-9397-08002B2CF9AE}" pid="7" name="KSOProductBuildVer">
    <vt:lpwstr>2052-11.1.0.7989</vt:lpwstr>
  </property>
</Properties>
</file>